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B5" w:rsidRDefault="000B4AB5" w:rsidP="000B4AB5">
      <w:pPr>
        <w:spacing w:after="0"/>
        <w:jc w:val="center"/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</w:pPr>
    </w:p>
    <w:p w:rsidR="000B4AB5" w:rsidRDefault="000B4AB5" w:rsidP="000B4AB5">
      <w:pPr>
        <w:spacing w:after="0"/>
        <w:jc w:val="center"/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</w:pPr>
    </w:p>
    <w:p w:rsidR="000B4AB5" w:rsidRDefault="000B4AB5" w:rsidP="00A8306D">
      <w:pPr>
        <w:spacing w:after="0"/>
        <w:jc w:val="center"/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</w:pPr>
      <w:r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"Zarządza</w:t>
      </w:r>
      <w:r w:rsidRPr="00F97792"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nie ryzykiem wal</w:t>
      </w:r>
      <w:r w:rsidR="00A8306D"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utowym w transakcjach międzynarodowych</w:t>
      </w:r>
      <w:r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”</w:t>
      </w:r>
    </w:p>
    <w:p w:rsidR="000B4AB5" w:rsidRDefault="000B4AB5" w:rsidP="000B4AB5">
      <w:pPr>
        <w:spacing w:after="0"/>
        <w:jc w:val="center"/>
        <w:rPr>
          <w:rFonts w:ascii="Calibri" w:hAnsi="Calibri" w:cs="Calibri"/>
          <w:b/>
          <w:bCs/>
          <w:lang w:val="pl-PL"/>
        </w:rPr>
      </w:pPr>
      <w:r w:rsidRPr="00165C16">
        <w:rPr>
          <w:rFonts w:ascii="Calibri" w:hAnsi="Calibri" w:cs="Calibri"/>
          <w:u w:val="single"/>
          <w:lang w:val="pl-PL"/>
        </w:rPr>
        <w:t>Termin</w:t>
      </w:r>
      <w:r w:rsidRPr="00165C16">
        <w:rPr>
          <w:rFonts w:ascii="Calibri" w:hAnsi="Calibri" w:cs="Calibri"/>
          <w:lang w:val="pl-PL"/>
        </w:rPr>
        <w:t xml:space="preserve">: </w:t>
      </w:r>
    </w:p>
    <w:p w:rsidR="000B4AB5" w:rsidRDefault="000B4AB5" w:rsidP="000B4AB5">
      <w:pPr>
        <w:spacing w:after="0"/>
        <w:jc w:val="center"/>
        <w:rPr>
          <w:rFonts w:ascii="Calibri" w:hAnsi="Calibri" w:cs="Calibri"/>
          <w:b/>
          <w:lang w:val="pl-PL"/>
        </w:rPr>
      </w:pPr>
      <w:r w:rsidRPr="00165C16">
        <w:rPr>
          <w:rFonts w:ascii="Calibri" w:hAnsi="Calibri" w:cs="Calibri"/>
          <w:u w:val="single"/>
          <w:lang w:val="pl-PL"/>
        </w:rPr>
        <w:t>Miejsce</w:t>
      </w:r>
      <w:r w:rsidRPr="00165C16">
        <w:rPr>
          <w:rFonts w:ascii="Calibri" w:hAnsi="Calibri" w:cs="Calibri"/>
          <w:lang w:val="pl-PL"/>
        </w:rPr>
        <w:t xml:space="preserve">:  </w:t>
      </w:r>
    </w:p>
    <w:p w:rsidR="000B4AB5" w:rsidRDefault="000B4AB5" w:rsidP="000B4AB5">
      <w:pPr>
        <w:spacing w:after="0"/>
        <w:jc w:val="center"/>
        <w:rPr>
          <w:rFonts w:ascii="Calibri" w:hAnsi="Calibri" w:cs="Arial"/>
          <w:b/>
          <w:color w:val="003366"/>
          <w:sz w:val="22"/>
          <w:szCs w:val="22"/>
          <w:lang w:val="pl-PL"/>
        </w:rPr>
      </w:pPr>
    </w:p>
    <w:p w:rsidR="000B4AB5" w:rsidRPr="002B6CAA" w:rsidRDefault="000B4AB5" w:rsidP="000B4AB5">
      <w:pPr>
        <w:spacing w:after="0"/>
        <w:rPr>
          <w:rFonts w:ascii="Calibri" w:hAnsi="Calibri" w:cs="Arial"/>
          <w:b/>
          <w:color w:val="003366"/>
          <w:sz w:val="22"/>
          <w:szCs w:val="22"/>
          <w:lang w:val="pl-PL"/>
        </w:rPr>
      </w:pPr>
      <w:r w:rsidRPr="002B6CAA">
        <w:rPr>
          <w:rFonts w:ascii="Calibri" w:hAnsi="Calibri" w:cs="Arial"/>
          <w:b/>
          <w:color w:val="003366"/>
          <w:sz w:val="22"/>
          <w:szCs w:val="22"/>
          <w:lang w:val="pl-PL"/>
        </w:rPr>
        <w:t xml:space="preserve">Prowadzący: </w:t>
      </w:r>
    </w:p>
    <w:p w:rsidR="000B4AB5" w:rsidRDefault="000B4AB5" w:rsidP="000B4AB5">
      <w:pPr>
        <w:spacing w:after="100" w:afterAutospacing="1"/>
        <w:rPr>
          <w:rFonts w:ascii="Calibri" w:hAnsi="Calibri" w:cs="Arial"/>
          <w:bCs/>
          <w:i/>
          <w:color w:val="003366"/>
          <w:sz w:val="20"/>
          <w:szCs w:val="20"/>
          <w:lang w:val="pl-PL"/>
        </w:rPr>
      </w:pPr>
      <w:r w:rsidRPr="00386A03">
        <w:rPr>
          <w:rFonts w:ascii="Calibri" w:hAnsi="Calibri" w:cs="Arial"/>
          <w:b/>
          <w:bCs/>
          <w:i/>
          <w:color w:val="003366"/>
          <w:sz w:val="20"/>
          <w:szCs w:val="20"/>
          <w:lang w:val="pl-PL"/>
        </w:rPr>
        <w:t xml:space="preserve">Jacek Maliszewski - 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G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łó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wny Ekonomista firmy DMK </w:t>
      </w:r>
      <w:r w:rsidR="00366CA6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. Prowadzi 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 szkolenia dla importer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ó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w i eksporter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ó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w. Pomaga importerom i eksporterom profesjonalnie zarz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ą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dza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ć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 ryzykiem walutowym. W 2010 roku powo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ł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any przez Zachodniopomorsk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ą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 Delegatur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ę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 Najwy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ż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szej Izby Kontroli na bieg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ł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ego w zakresu instrument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ó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w pochodnych na waluty i na stopy procentowe, w celu przeprowadzenia kontroli w sp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ół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kach skarbu pa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ń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 xml:space="preserve">stwa 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„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zara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ż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onych toksycznymi opcjami walutowymi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”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. Autor ksi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ąż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ki "Zarz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ą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dzanie ryzykiem kursu walutowego w przedsi</w:t>
      </w:r>
      <w:r w:rsidRPr="00386A03">
        <w:rPr>
          <w:rFonts w:ascii="Calibri" w:hAnsi="Calibri" w:cs="Arial" w:hint="eastAsia"/>
          <w:bCs/>
          <w:i/>
          <w:color w:val="003366"/>
          <w:sz w:val="20"/>
          <w:szCs w:val="20"/>
          <w:lang w:val="pl-PL"/>
        </w:rPr>
        <w:t>ę</w:t>
      </w:r>
      <w:r w:rsidRPr="00386A03">
        <w:rPr>
          <w:rFonts w:ascii="Calibri" w:hAnsi="Calibri" w:cs="Arial"/>
          <w:bCs/>
          <w:i/>
          <w:color w:val="003366"/>
          <w:sz w:val="20"/>
          <w:szCs w:val="20"/>
          <w:lang w:val="pl-PL"/>
        </w:rPr>
        <w:t>biorstwie - poradnik praktyczny".</w:t>
      </w:r>
    </w:p>
    <w:p w:rsidR="00A8306D" w:rsidRPr="00A8306D" w:rsidRDefault="00A8306D" w:rsidP="00A8306D">
      <w:pPr>
        <w:pStyle w:val="Bezodstpw"/>
        <w:rPr>
          <w:rFonts w:cs="Times New Roman"/>
          <w:i/>
          <w:color w:val="17365D" w:themeColor="text2" w:themeShade="BF"/>
          <w:sz w:val="20"/>
          <w:szCs w:val="20"/>
        </w:rPr>
      </w:pPr>
      <w:r w:rsidRPr="00A8306D">
        <w:rPr>
          <w:rFonts w:cs="Times New Roman"/>
          <w:b/>
          <w:i/>
          <w:color w:val="17365D" w:themeColor="text2" w:themeShade="BF"/>
        </w:rPr>
        <w:t>Współprowadzący szkolenie</w:t>
      </w:r>
      <w:r w:rsidRPr="00A8306D">
        <w:rPr>
          <w:rFonts w:cs="Times New Roman"/>
          <w:i/>
          <w:color w:val="17365D" w:themeColor="text2" w:themeShade="BF"/>
          <w:sz w:val="20"/>
          <w:szCs w:val="20"/>
        </w:rPr>
        <w:t xml:space="preserve">-  </w:t>
      </w:r>
      <w:r w:rsidRPr="00A8306D">
        <w:rPr>
          <w:rFonts w:cs="Times New Roman"/>
          <w:b/>
          <w:i/>
          <w:color w:val="17365D" w:themeColor="text2" w:themeShade="BF"/>
          <w:sz w:val="20"/>
          <w:szCs w:val="20"/>
        </w:rPr>
        <w:t>Łukasz Leszczyński</w:t>
      </w:r>
      <w:r w:rsidRPr="00A8306D">
        <w:rPr>
          <w:rFonts w:cs="Times New Roman"/>
          <w:i/>
          <w:color w:val="17365D" w:themeColor="text2" w:themeShade="BF"/>
          <w:sz w:val="20"/>
          <w:szCs w:val="20"/>
        </w:rPr>
        <w:t xml:space="preserve">; Od 2010 roku zarządzający ryzykiem finansowym w DMK. Od blisko 10 lat związany z rynkiem walutowym, wspiera firmy we właściwym procesie zarządzania ryzykiem kursowym. Odpowiedzialny za prawidłowe wdrożenie rachunkowości zabezpieczeń w firmach oraz wsparcie przy prawidłowym księgowaniu instrumentów finansowych w księgach rachunkowych spółek. </w:t>
      </w:r>
    </w:p>
    <w:p w:rsidR="00A8306D" w:rsidRDefault="00A8306D" w:rsidP="000B4AB5">
      <w:pPr>
        <w:spacing w:after="100" w:afterAutospacing="1"/>
        <w:rPr>
          <w:rFonts w:ascii="Calibri" w:hAnsi="Calibri" w:cs="Arial"/>
          <w:bCs/>
          <w:i/>
          <w:color w:val="003366"/>
          <w:sz w:val="20"/>
          <w:szCs w:val="20"/>
          <w:lang w:val="pl-PL"/>
        </w:rPr>
      </w:pPr>
    </w:p>
    <w:p w:rsidR="00366CA6" w:rsidRPr="00366CA6" w:rsidRDefault="00366CA6" w:rsidP="00366CA6">
      <w:pPr>
        <w:spacing w:after="100" w:afterAutospacing="1"/>
        <w:jc w:val="center"/>
        <w:rPr>
          <w:rFonts w:asciiTheme="minorHAnsi" w:hAnsiTheme="minorHAnsi" w:cstheme="minorHAnsi"/>
          <w:bCs/>
          <w:lang w:val="pl-PL"/>
        </w:rPr>
      </w:pPr>
      <w:r w:rsidRPr="00366CA6">
        <w:rPr>
          <w:rFonts w:asciiTheme="minorHAnsi" w:hAnsiTheme="minorHAnsi" w:cstheme="minorHAnsi"/>
          <w:bCs/>
          <w:lang w:val="pl-PL"/>
        </w:rPr>
        <w:t>Dzień I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7"/>
        <w:gridCol w:w="7425"/>
      </w:tblGrid>
      <w:tr w:rsidR="000B4AB5" w:rsidRPr="00EE03A8" w:rsidTr="00A45A8B">
        <w:trPr>
          <w:trHeight w:val="380"/>
        </w:trPr>
        <w:tc>
          <w:tcPr>
            <w:tcW w:w="9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8.45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–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9.00</w:t>
            </w:r>
          </w:p>
        </w:tc>
        <w:tc>
          <w:tcPr>
            <w:tcW w:w="4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Rejestracja uczestników</w:t>
            </w:r>
          </w:p>
        </w:tc>
      </w:tr>
      <w:tr w:rsidR="000B4AB5" w:rsidRPr="000D2CB3" w:rsidTr="00A45A8B">
        <w:trPr>
          <w:trHeight w:val="304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9.00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- 9.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15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0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Powitanie uczestników </w:t>
            </w:r>
          </w:p>
        </w:tc>
      </w:tr>
      <w:tr w:rsidR="000B4AB5" w:rsidRPr="000D2CB3" w:rsidTr="00A45A8B">
        <w:trPr>
          <w:trHeight w:val="1357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eastAsia="SimSun" w:hAnsiTheme="minorHAnsi" w:cs="Arial"/>
                <w:b/>
                <w:bCs/>
                <w:lang w:val="pl-PL" w:eastAsia="hi-IN" w:bidi="hi-IN"/>
              </w:rPr>
            </w:pP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pl-PL" w:eastAsia="hi-IN" w:bidi="hi-IN"/>
              </w:rPr>
              <w:t>9.15 - 10.3</w:t>
            </w:r>
            <w:r w:rsidRPr="009001B9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pl-PL" w:eastAsia="hi-IN" w:bidi="hi-IN"/>
              </w:rPr>
              <w:t>0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AB5" w:rsidRPr="00085275" w:rsidRDefault="00085275" w:rsidP="00085275">
            <w:pPr>
              <w:tabs>
                <w:tab w:val="left" w:pos="2580"/>
              </w:tabs>
              <w:spacing w:line="276" w:lineRule="auto"/>
              <w:ind w:left="360" w:right="-5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1. 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Czynniki wpływające na zmiany kursów walut (Złotego, Euro, Dolara, innych walut):</w:t>
            </w:r>
          </w:p>
          <w:p w:rsidR="000B4AB5" w:rsidRDefault="000B4AB5" w:rsidP="000B4AB5">
            <w:pPr>
              <w:pStyle w:val="Akapitzlist"/>
              <w:numPr>
                <w:ilvl w:val="0"/>
                <w:numId w:val="2"/>
              </w:numPr>
              <w:tabs>
                <w:tab w:val="left" w:pos="2580"/>
              </w:tabs>
              <w:spacing w:line="276" w:lineRule="auto"/>
              <w:ind w:left="754" w:right="-6" w:hanging="357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czynniki związane z rynkiem stóp procentowych (Teoria Parytetu Stóp Procentowych)</w:t>
            </w:r>
          </w:p>
          <w:p w:rsidR="000B4AB5" w:rsidRDefault="000B4AB5" w:rsidP="000B4AB5">
            <w:pPr>
              <w:pStyle w:val="Akapitzlist"/>
              <w:numPr>
                <w:ilvl w:val="0"/>
                <w:numId w:val="2"/>
              </w:numPr>
              <w:tabs>
                <w:tab w:val="left" w:pos="2580"/>
              </w:tabs>
              <w:spacing w:line="276" w:lineRule="auto"/>
              <w:ind w:left="754" w:right="-6" w:hanging="357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czynniki związane z analizą techniczną wykresów</w:t>
            </w:r>
          </w:p>
          <w:p w:rsidR="000B4AB5" w:rsidRDefault="000B4AB5" w:rsidP="000B4AB5">
            <w:pPr>
              <w:pStyle w:val="Akapitzlist"/>
              <w:numPr>
                <w:ilvl w:val="0"/>
                <w:numId w:val="2"/>
              </w:numPr>
              <w:tabs>
                <w:tab w:val="left" w:pos="2580"/>
              </w:tabs>
              <w:spacing w:line="276" w:lineRule="auto"/>
              <w:ind w:left="754" w:right="-6" w:hanging="357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czynniki związane z cyklami i sezonowością</w:t>
            </w:r>
          </w:p>
          <w:p w:rsidR="000B4AB5" w:rsidRPr="00085275" w:rsidRDefault="00085275" w:rsidP="00085275">
            <w:pPr>
              <w:tabs>
                <w:tab w:val="left" w:pos="2580"/>
              </w:tabs>
              <w:spacing w:line="276" w:lineRule="auto"/>
              <w:ind w:left="360" w:right="-5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2. 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Przegl</w:t>
            </w:r>
            <w:r w:rsidR="000B4AB5" w:rsidRPr="00085275">
              <w:rPr>
                <w:rFonts w:asciiTheme="minorHAnsi" w:hAnsiTheme="minorHAnsi" w:cs="Arial" w:hint="eastAsia"/>
                <w:bCs/>
                <w:sz w:val="20"/>
                <w:szCs w:val="20"/>
                <w:lang w:val="pl-PL"/>
              </w:rPr>
              <w:t>ą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d prognoz sporządzonych przez czołowe instytucje finansowe na świecie – jak czytać takie prognozy, jakie wnioski z nich wyciągać, jak wykorzystywać te informacje do własnych celów. Prognozy dotyczące oczekiwanych w przyszłości poziomów notowań EUR/PLN, USD/PLN, EUR/USD</w:t>
            </w:r>
          </w:p>
        </w:tc>
      </w:tr>
      <w:tr w:rsidR="000B4AB5" w:rsidRPr="009001B9" w:rsidTr="00A45A8B">
        <w:trPr>
          <w:trHeight w:val="355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10.3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0 </w:t>
            </w:r>
            <w:r w:rsidR="00085275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–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10.4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5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1F497D"/>
              </w:rPr>
            </w:pPr>
            <w:proofErr w:type="spellStart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Przerwa</w:t>
            </w:r>
            <w:proofErr w:type="spellEnd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kawowa</w:t>
            </w:r>
            <w:proofErr w:type="spellEnd"/>
          </w:p>
        </w:tc>
      </w:tr>
      <w:tr w:rsidR="000B4AB5" w:rsidRPr="000D2CB3" w:rsidTr="00A45A8B">
        <w:trPr>
          <w:trHeight w:val="583"/>
        </w:trPr>
        <w:tc>
          <w:tcPr>
            <w:tcW w:w="95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eastAsia="SimSun" w:hAnsiTheme="minorHAnsi" w:cs="Arial"/>
                <w:b/>
                <w:bCs/>
                <w:lang w:eastAsia="hi-IN" w:bidi="hi-IN"/>
              </w:rPr>
            </w:pP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 xml:space="preserve">10.45 </w:t>
            </w:r>
            <w:r w:rsidR="00085275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>–</w:t>
            </w: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 xml:space="preserve"> 12.00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33611" w:rsidRDefault="00085275" w:rsidP="00085275">
            <w:pPr>
              <w:widowControl w:val="0"/>
              <w:tabs>
                <w:tab w:val="left" w:pos="2190"/>
              </w:tabs>
              <w:spacing w:line="276" w:lineRule="auto"/>
              <w:ind w:left="360"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3. </w:t>
            </w:r>
            <w:r w:rsid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Co to jest otwarta pozycja walutowa? Długa i krótka pozycja walutowa.</w:t>
            </w:r>
          </w:p>
          <w:p w:rsidR="000B4AB5" w:rsidRPr="00085275" w:rsidRDefault="00C33611" w:rsidP="00085275">
            <w:pPr>
              <w:widowControl w:val="0"/>
              <w:tabs>
                <w:tab w:val="left" w:pos="2190"/>
              </w:tabs>
              <w:spacing w:line="276" w:lineRule="auto"/>
              <w:ind w:left="360"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4. 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Co to jest </w:t>
            </w:r>
            <w:proofErr w:type="spellStart"/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forward</w:t>
            </w:r>
            <w:proofErr w:type="spellEnd"/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walutowy i jak z niego korzystać?</w:t>
            </w:r>
          </w:p>
          <w:p w:rsidR="000B4AB5" w:rsidRPr="00085275" w:rsidRDefault="00C33611" w:rsidP="00085275">
            <w:pPr>
              <w:widowControl w:val="0"/>
              <w:tabs>
                <w:tab w:val="left" w:pos="2190"/>
              </w:tabs>
              <w:spacing w:line="276" w:lineRule="auto"/>
              <w:ind w:left="360"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5</w:t>
            </w:r>
            <w:r w:rsid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. 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Co to jest opcja walutowa? Kto jest nabywcą opcji a kto wystawcą?</w:t>
            </w:r>
          </w:p>
        </w:tc>
      </w:tr>
      <w:tr w:rsidR="000B4AB5" w:rsidRPr="00085275" w:rsidTr="00A45A8B">
        <w:trPr>
          <w:trHeight w:val="11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12.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00</w:t>
            </w: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-</w:t>
            </w: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2.15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Przerwa kawowa</w:t>
            </w:r>
          </w:p>
        </w:tc>
      </w:tr>
      <w:tr w:rsidR="000B4AB5" w:rsidRPr="000D2CB3" w:rsidTr="00A45A8B">
        <w:trPr>
          <w:trHeight w:val="36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B5" w:rsidRPr="00A70206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12:15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85275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–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13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.30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B5" w:rsidRPr="00085275" w:rsidRDefault="00C33611" w:rsidP="00085275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  <w:r w:rsid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Zabezpieczenie krótkoterminowego ryzyka kursowego z użyciem </w:t>
            </w:r>
            <w:proofErr w:type="spellStart"/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>forwardu</w:t>
            </w:r>
            <w:proofErr w:type="spellEnd"/>
          </w:p>
        </w:tc>
      </w:tr>
      <w:tr w:rsidR="000B4AB5" w:rsidRPr="00085275" w:rsidTr="00A45A8B">
        <w:trPr>
          <w:trHeight w:val="42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lastRenderedPageBreak/>
              <w:t>13.30 - 14.00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pStyle w:val="Akapitzlist"/>
              <w:tabs>
                <w:tab w:val="left" w:pos="851"/>
                <w:tab w:val="left" w:pos="993"/>
              </w:tabs>
              <w:spacing w:line="276" w:lineRule="auto"/>
              <w:ind w:left="720"/>
              <w:rPr>
                <w:rFonts w:asciiTheme="minorHAnsi" w:hAnsiTheme="minorHAnsi"/>
                <w:b/>
                <w:color w:val="244061" w:themeColor="accent1" w:themeShade="80"/>
                <w:lang w:val="pl-PL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  <w:lang w:val="pl-PL"/>
              </w:rPr>
              <w:t xml:space="preserve">                                                </w:t>
            </w:r>
            <w:r w:rsidRPr="00A70206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  <w:lang w:val="pl-PL"/>
              </w:rPr>
              <w:t>Lunch</w:t>
            </w:r>
          </w:p>
        </w:tc>
      </w:tr>
      <w:tr w:rsidR="000B4AB5" w:rsidRPr="000D2CB3" w:rsidTr="00A45A8B">
        <w:trPr>
          <w:trHeight w:val="42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B5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14.00 -1</w:t>
            </w:r>
            <w:r w:rsidR="00A643B8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6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.00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B5" w:rsidRPr="002B5527" w:rsidRDefault="00C33611" w:rsidP="00085275">
            <w:pPr>
              <w:suppressAutoHyphens w:val="0"/>
              <w:spacing w:after="0" w:line="360" w:lineRule="auto"/>
              <w:ind w:left="360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7</w:t>
            </w:r>
            <w:r w:rsid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r w:rsidR="000B4AB5" w:rsidRPr="002B552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Ubezpieczenie ryzyka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średnioterminowego </w:t>
            </w:r>
            <w:r w:rsidR="000B4AB5" w:rsidRPr="002B5527">
              <w:rPr>
                <w:rFonts w:asciiTheme="minorHAnsi" w:hAnsiTheme="minorHAnsi"/>
                <w:sz w:val="20"/>
                <w:szCs w:val="20"/>
                <w:lang w:val="pl-PL"/>
              </w:rPr>
              <w:t>z użyciem opcji walutowej</w:t>
            </w:r>
          </w:p>
          <w:p w:rsidR="00A643B8" w:rsidRDefault="00C33611" w:rsidP="00085275">
            <w:pPr>
              <w:suppressAutoHyphens w:val="0"/>
              <w:spacing w:after="0" w:line="360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  <w:r w:rsid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r w:rsidR="000B4AB5" w:rsidRPr="002B5527">
              <w:rPr>
                <w:rFonts w:asciiTheme="minorHAnsi" w:hAnsiTheme="minorHAnsi"/>
                <w:sz w:val="20"/>
                <w:szCs w:val="20"/>
                <w:lang w:val="pl-PL"/>
              </w:rPr>
              <w:t>Ryzyko księgowe, a ryzyko kasowe - różne podejścia do zarządzania ryzykiem kursowym. Praktyczne przykłady z życia polskich importerów i eksporterów wzięte.</w:t>
            </w:r>
          </w:p>
          <w:p w:rsidR="000B4AB5" w:rsidRPr="00ED0A39" w:rsidRDefault="00A643B8" w:rsidP="00085275">
            <w:pPr>
              <w:suppressAutoHyphens w:val="0"/>
              <w:spacing w:after="0" w:line="360" w:lineRule="auto"/>
              <w:ind w:left="360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9. </w:t>
            </w:r>
            <w:r w:rsidRPr="002B5527">
              <w:rPr>
                <w:rFonts w:asciiTheme="minorHAnsi" w:hAnsiTheme="minorHAnsi"/>
                <w:sz w:val="20"/>
                <w:szCs w:val="20"/>
                <w:lang w:val="pl-PL"/>
              </w:rPr>
              <w:t>Najczęstsze błędy jakie są popełniane w tych pr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ocesie zarządzania ryzykiem kursowym.</w:t>
            </w:r>
            <w:r w:rsidR="000B4AB5" w:rsidRPr="002B552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0B4AB5" w:rsidRPr="00FC12B9" w:rsidRDefault="000B4AB5" w:rsidP="000B4AB5">
      <w:pPr>
        <w:rPr>
          <w:b/>
          <w:sz w:val="18"/>
          <w:szCs w:val="18"/>
          <w:lang w:val="pl-PL"/>
        </w:rPr>
      </w:pPr>
      <w:r w:rsidRPr="00FC12B9">
        <w:rPr>
          <w:b/>
          <w:sz w:val="18"/>
          <w:szCs w:val="18"/>
          <w:lang w:val="pl-PL"/>
        </w:rPr>
        <w:t xml:space="preserve">Organizator zastrzega </w:t>
      </w:r>
      <w:r>
        <w:rPr>
          <w:b/>
          <w:sz w:val="18"/>
          <w:szCs w:val="18"/>
          <w:lang w:val="pl-PL"/>
        </w:rPr>
        <w:t>sobie możliwość zmiany kolejności</w:t>
      </w:r>
      <w:r w:rsidRPr="00FC12B9">
        <w:rPr>
          <w:b/>
          <w:sz w:val="18"/>
          <w:szCs w:val="18"/>
          <w:lang w:val="pl-PL"/>
        </w:rPr>
        <w:t xml:space="preserve"> poszczególnych części programu.</w:t>
      </w:r>
    </w:p>
    <w:p w:rsidR="000B4AB5" w:rsidRDefault="000B4AB5" w:rsidP="00A8306D">
      <w:pPr>
        <w:spacing w:after="0"/>
        <w:jc w:val="center"/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</w:pPr>
      <w:r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"Zarządza</w:t>
      </w:r>
      <w:r w:rsidRPr="00F97792"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nie ryzyk</w:t>
      </w:r>
      <w:r w:rsidR="00A8306D"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iem walutowym w transakcjach międzynarodowych</w:t>
      </w:r>
      <w:r>
        <w:rPr>
          <w:rFonts w:asciiTheme="minorHAnsi" w:eastAsia="SimSun" w:hAnsiTheme="minorHAnsi" w:cs="Calibri"/>
          <w:b/>
          <w:color w:val="365F91" w:themeColor="accent1" w:themeShade="BF"/>
          <w:sz w:val="28"/>
          <w:szCs w:val="28"/>
          <w:lang w:val="pl-PL" w:eastAsia="hi-IN" w:bidi="hi-IN"/>
        </w:rPr>
        <w:t>”</w:t>
      </w:r>
    </w:p>
    <w:p w:rsidR="000B4AB5" w:rsidRDefault="00366CA6" w:rsidP="000B4AB5">
      <w:pPr>
        <w:spacing w:after="0"/>
        <w:jc w:val="center"/>
        <w:rPr>
          <w:rFonts w:ascii="Calibri" w:hAnsi="Calibri" w:cs="Calibri"/>
          <w:u w:val="single"/>
          <w:lang w:val="pl-PL"/>
        </w:rPr>
      </w:pPr>
      <w:r>
        <w:rPr>
          <w:rFonts w:ascii="Calibri" w:hAnsi="Calibri" w:cs="Calibri"/>
          <w:u w:val="single"/>
          <w:lang w:val="pl-PL"/>
        </w:rPr>
        <w:t>Dzień II</w:t>
      </w:r>
    </w:p>
    <w:p w:rsidR="00366CA6" w:rsidRDefault="00366CA6" w:rsidP="000B4AB5">
      <w:pPr>
        <w:spacing w:after="0"/>
        <w:jc w:val="center"/>
        <w:rPr>
          <w:rFonts w:ascii="Calibri" w:hAnsi="Calibri" w:cs="Calibri"/>
          <w:b/>
          <w:bCs/>
          <w:lang w:val="pl-P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7"/>
        <w:gridCol w:w="7425"/>
      </w:tblGrid>
      <w:tr w:rsidR="000B4AB5" w:rsidRPr="00F0105D" w:rsidTr="00A45A8B">
        <w:trPr>
          <w:trHeight w:val="380"/>
        </w:trPr>
        <w:tc>
          <w:tcPr>
            <w:tcW w:w="9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8.45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–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9.00</w:t>
            </w:r>
          </w:p>
        </w:tc>
        <w:tc>
          <w:tcPr>
            <w:tcW w:w="40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100" w:afterAutospacing="1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Rejestracja uczestników</w:t>
            </w:r>
          </w:p>
        </w:tc>
      </w:tr>
      <w:tr w:rsidR="000B4AB5" w:rsidRPr="000D2CB3" w:rsidTr="00A45A8B">
        <w:trPr>
          <w:trHeight w:val="304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9.00</w:t>
            </w: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- 9.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15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spacing w:after="0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9001B9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Powitanie uczestników</w:t>
            </w:r>
          </w:p>
        </w:tc>
      </w:tr>
      <w:tr w:rsidR="000B4AB5" w:rsidRPr="000D2CB3" w:rsidTr="00A45A8B">
        <w:trPr>
          <w:trHeight w:val="1357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B4AB5" w:rsidRPr="009001B9" w:rsidRDefault="000B4AB5" w:rsidP="00085275">
            <w:pPr>
              <w:pStyle w:val="TableContents"/>
              <w:numPr>
                <w:ilvl w:val="1"/>
                <w:numId w:val="6"/>
              </w:numPr>
              <w:jc w:val="center"/>
              <w:rPr>
                <w:rFonts w:asciiTheme="minorHAnsi" w:eastAsia="SimSun" w:hAnsiTheme="minorHAnsi" w:cs="Arial"/>
                <w:b/>
                <w:bCs/>
                <w:lang w:val="pl-PL" w:eastAsia="hi-IN" w:bidi="hi-IN"/>
              </w:rPr>
            </w:pP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pl-PL" w:eastAsia="hi-IN" w:bidi="hi-IN"/>
              </w:rPr>
              <w:t>- 10.3</w:t>
            </w:r>
            <w:r w:rsidRPr="009001B9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pl-PL" w:eastAsia="hi-IN" w:bidi="hi-IN"/>
              </w:rPr>
              <w:t>0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4AB5" w:rsidRPr="00085275" w:rsidRDefault="00085275" w:rsidP="00085275">
            <w:pPr>
              <w:tabs>
                <w:tab w:val="left" w:pos="2580"/>
              </w:tabs>
              <w:spacing w:line="276" w:lineRule="auto"/>
              <w:ind w:right="-5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        </w:t>
            </w:r>
            <w:r w:rsid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10 </w:t>
            </w:r>
            <w:r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. 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Analiza techniczna wykresów kursów walut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</w:t>
            </w:r>
            <w:r w:rsidR="000B4AB5" w:rsidRP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jako narzędzie pomocne przy podejmowaniu decyzji o kupnie, sprzedaży walut.</w:t>
            </w:r>
          </w:p>
          <w:p w:rsidR="000B4AB5" w:rsidRPr="00C33611" w:rsidRDefault="000B4AB5" w:rsidP="00C33611">
            <w:pPr>
              <w:pStyle w:val="Akapitzlist"/>
              <w:numPr>
                <w:ilvl w:val="0"/>
                <w:numId w:val="7"/>
              </w:numPr>
              <w:tabs>
                <w:tab w:val="left" w:pos="2580"/>
              </w:tabs>
              <w:spacing w:line="276" w:lineRule="auto"/>
              <w:ind w:right="-6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wskaźnik MACD </w:t>
            </w:r>
            <w:r w:rsidR="00085275" w:rsidRP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</w:t>
            </w:r>
            <w:r w:rsidRP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służący do określenia kierunku trendu</w:t>
            </w:r>
          </w:p>
          <w:p w:rsidR="000B4AB5" w:rsidRDefault="000B4AB5" w:rsidP="00C33611">
            <w:pPr>
              <w:pStyle w:val="Akapitzlist"/>
              <w:numPr>
                <w:ilvl w:val="0"/>
                <w:numId w:val="7"/>
              </w:numPr>
              <w:tabs>
                <w:tab w:val="left" w:pos="2580"/>
              </w:tabs>
              <w:spacing w:line="276" w:lineRule="auto"/>
              <w:ind w:right="-6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wskaźnik </w:t>
            </w:r>
            <w:r w:rsid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„</w:t>
            </w:r>
            <w:r w:rsidRPr="0008152C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oscylator stochastyczny</w:t>
            </w:r>
            <w:r w:rsid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”</w:t>
            </w:r>
            <w:r w:rsidRPr="0008152C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  <w:r w:rsidR="00085275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</w:t>
            </w:r>
            <w:r w:rsidRPr="0008152C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służący do wskazania momentu zawarcia transakcji</w:t>
            </w:r>
          </w:p>
          <w:p w:rsidR="000B4AB5" w:rsidRPr="00A70206" w:rsidRDefault="000B4AB5" w:rsidP="00C33611">
            <w:pPr>
              <w:pStyle w:val="Akapitzlist"/>
              <w:tabs>
                <w:tab w:val="left" w:pos="2580"/>
              </w:tabs>
              <w:spacing w:line="276" w:lineRule="auto"/>
              <w:ind w:left="754" w:right="-6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</w:tr>
      <w:tr w:rsidR="000B4AB5" w:rsidRPr="009001B9" w:rsidTr="00A45A8B">
        <w:trPr>
          <w:trHeight w:val="355"/>
        </w:trPr>
        <w:tc>
          <w:tcPr>
            <w:tcW w:w="9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10.3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0 </w:t>
            </w:r>
            <w:r w:rsidR="00085275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–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10.4</w:t>
            </w:r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5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0B4AB5" w:rsidRPr="009001B9" w:rsidRDefault="000B4AB5" w:rsidP="00A45A8B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1F497D"/>
              </w:rPr>
            </w:pPr>
            <w:proofErr w:type="spellStart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Przerwa</w:t>
            </w:r>
            <w:proofErr w:type="spellEnd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9001B9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</w:rPr>
              <w:t>kawowa</w:t>
            </w:r>
            <w:proofErr w:type="spellEnd"/>
          </w:p>
        </w:tc>
      </w:tr>
      <w:tr w:rsidR="000B4AB5" w:rsidRPr="000D2CB3" w:rsidTr="00A45A8B">
        <w:trPr>
          <w:trHeight w:val="583"/>
        </w:trPr>
        <w:tc>
          <w:tcPr>
            <w:tcW w:w="95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B4AB5" w:rsidRPr="009001B9" w:rsidRDefault="000B4AB5" w:rsidP="00A45A8B">
            <w:pPr>
              <w:pStyle w:val="TableContents"/>
              <w:jc w:val="center"/>
              <w:rPr>
                <w:rFonts w:asciiTheme="minorHAnsi" w:eastAsia="SimSun" w:hAnsiTheme="minorHAnsi" w:cs="Arial"/>
                <w:b/>
                <w:bCs/>
                <w:lang w:eastAsia="hi-IN" w:bidi="hi-IN"/>
              </w:rPr>
            </w:pP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 xml:space="preserve">10.45 </w:t>
            </w:r>
            <w:r w:rsidR="00085275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>–</w:t>
            </w: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eastAsia="hi-IN" w:bidi="hi-IN"/>
              </w:rPr>
              <w:t xml:space="preserve"> 12.00</w:t>
            </w:r>
          </w:p>
        </w:tc>
        <w:tc>
          <w:tcPr>
            <w:tcW w:w="4043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B4AB5" w:rsidRDefault="00C33611" w:rsidP="00C33611">
            <w:pPr>
              <w:widowControl w:val="0"/>
              <w:tabs>
                <w:tab w:val="left" w:pos="2190"/>
              </w:tabs>
              <w:spacing w:line="276" w:lineRule="auto"/>
              <w:ind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      11. Metoda 50/50.</w:t>
            </w:r>
          </w:p>
          <w:p w:rsidR="00C33611" w:rsidRDefault="00C33611" w:rsidP="00C33611">
            <w:pPr>
              <w:widowControl w:val="0"/>
              <w:tabs>
                <w:tab w:val="left" w:pos="2190"/>
              </w:tabs>
              <w:spacing w:line="276" w:lineRule="auto"/>
              <w:ind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      12. Strategie ubezpieczające ryzyko długoterminowe:</w:t>
            </w:r>
          </w:p>
          <w:p w:rsidR="00C33611" w:rsidRDefault="00C33611" w:rsidP="00C33611">
            <w:pPr>
              <w:pStyle w:val="Akapitzlist"/>
              <w:numPr>
                <w:ilvl w:val="0"/>
                <w:numId w:val="8"/>
              </w:numPr>
              <w:tabs>
                <w:tab w:val="left" w:pos="2580"/>
              </w:tabs>
              <w:spacing w:line="276" w:lineRule="auto"/>
              <w:ind w:right="-6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korytarz eksportera (EUR)</w:t>
            </w:r>
          </w:p>
          <w:p w:rsidR="00C33611" w:rsidRDefault="00C33611" w:rsidP="00C33611">
            <w:pPr>
              <w:pStyle w:val="Akapitzlist"/>
              <w:numPr>
                <w:ilvl w:val="0"/>
                <w:numId w:val="8"/>
              </w:numPr>
              <w:tabs>
                <w:tab w:val="left" w:pos="2580"/>
              </w:tabs>
              <w:spacing w:line="276" w:lineRule="auto"/>
              <w:ind w:right="-6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korytarz importera (USD)</w:t>
            </w:r>
          </w:p>
          <w:p w:rsidR="00C33611" w:rsidRPr="00C33611" w:rsidRDefault="00C33611" w:rsidP="00C33611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190"/>
                <w:tab w:val="left" w:pos="2580"/>
              </w:tabs>
              <w:spacing w:line="276" w:lineRule="auto"/>
              <w:ind w:right="-6"/>
              <w:jc w:val="left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C3361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Opcje na opcje</w:t>
            </w:r>
          </w:p>
        </w:tc>
      </w:tr>
      <w:tr w:rsidR="000B4AB5" w:rsidRPr="00A70206" w:rsidTr="00A45A8B">
        <w:trPr>
          <w:trHeight w:val="11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12.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00</w:t>
            </w: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-</w:t>
            </w: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2.15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color w:val="1F497D"/>
                <w:lang w:val="pl-PL"/>
              </w:rPr>
            </w:pPr>
            <w:r w:rsidRPr="00A70206">
              <w:rPr>
                <w:rFonts w:asciiTheme="minorHAnsi" w:hAnsiTheme="minorHAnsi" w:cs="Arial"/>
                <w:b/>
                <w:bCs/>
                <w:color w:val="1F497D"/>
                <w:sz w:val="22"/>
                <w:szCs w:val="22"/>
                <w:lang w:val="pl-PL"/>
              </w:rPr>
              <w:t>Przerwa kawowa</w:t>
            </w:r>
          </w:p>
        </w:tc>
      </w:tr>
      <w:tr w:rsidR="000B4AB5" w:rsidRPr="00270BD9" w:rsidTr="00A45A8B">
        <w:trPr>
          <w:trHeight w:val="36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B5" w:rsidRPr="00A70206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12:15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085275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–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13</w:t>
            </w:r>
            <w:r w:rsidRPr="00A70206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.30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B5" w:rsidRPr="00085275" w:rsidRDefault="00085275" w:rsidP="00085275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  <w:r w:rsidR="00C33611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Przegląd instrumentów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>toksycznych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–</w:t>
            </w:r>
            <w:r w:rsidR="000B4AB5" w:rsidRPr="0008527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będących przyczyną problemów polskich przedsiębiorców w latach 2008-2009.</w:t>
            </w:r>
          </w:p>
          <w:p w:rsidR="000B4AB5" w:rsidRDefault="000B4AB5" w:rsidP="000B4AB5">
            <w:pPr>
              <w:pStyle w:val="Akapitzlis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opcje barierowe z wyłącznikami</w:t>
            </w:r>
          </w:p>
          <w:p w:rsidR="000B4AB5" w:rsidRPr="00A70206" w:rsidRDefault="000B4AB5" w:rsidP="000B4AB5">
            <w:pPr>
              <w:pStyle w:val="Akapitzlist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opcje barierowe z włącznikami</w:t>
            </w:r>
          </w:p>
        </w:tc>
      </w:tr>
      <w:tr w:rsidR="000B4AB5" w:rsidRPr="00A70206" w:rsidTr="00A45A8B">
        <w:trPr>
          <w:trHeight w:val="42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13.30 </w:t>
            </w:r>
            <w:r w:rsidR="00085275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–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14.00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4AB5" w:rsidRPr="00A70206" w:rsidRDefault="000B4AB5" w:rsidP="00A45A8B">
            <w:pPr>
              <w:pStyle w:val="Akapitzlist"/>
              <w:tabs>
                <w:tab w:val="left" w:pos="851"/>
                <w:tab w:val="left" w:pos="993"/>
              </w:tabs>
              <w:spacing w:line="276" w:lineRule="auto"/>
              <w:ind w:left="720"/>
              <w:rPr>
                <w:rFonts w:asciiTheme="minorHAnsi" w:hAnsiTheme="minorHAnsi"/>
                <w:b/>
                <w:color w:val="244061" w:themeColor="accent1" w:themeShade="80"/>
                <w:lang w:val="pl-PL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  <w:lang w:val="pl-PL"/>
              </w:rPr>
              <w:t xml:space="preserve">                                                </w:t>
            </w:r>
            <w:r w:rsidRPr="00A70206"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  <w:lang w:val="pl-PL"/>
              </w:rPr>
              <w:t>Lunch</w:t>
            </w:r>
          </w:p>
        </w:tc>
      </w:tr>
      <w:tr w:rsidR="000B4AB5" w:rsidRPr="000D2CB3" w:rsidTr="00A45A8B">
        <w:trPr>
          <w:trHeight w:val="42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B5" w:rsidRDefault="000B4AB5" w:rsidP="00A45A8B">
            <w:pPr>
              <w:pStyle w:val="TableContents"/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14.00 -</w:t>
            </w:r>
            <w:r w:rsidR="00A643B8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16.00</w:t>
            </w:r>
          </w:p>
          <w:p w:rsidR="00C33611" w:rsidRDefault="00C33611" w:rsidP="00A643B8">
            <w:pPr>
              <w:pStyle w:val="TableContents"/>
              <w:rPr>
                <w:rFonts w:asciiTheme="minorHAnsi" w:hAnsiTheme="minorHAnsi" w:cs="Arial"/>
                <w:b/>
                <w:bCs/>
                <w:lang w:val="pl-PL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8C" w:rsidRPr="00C4171A" w:rsidRDefault="00085275" w:rsidP="0099478C">
            <w:pPr>
              <w:suppressAutoHyphens w:val="0"/>
              <w:spacing w:after="0" w:line="360" w:lineRule="auto"/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  <w:r w:rsidR="00C33611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. </w:t>
            </w:r>
            <w:r w:rsidR="000B4AB5" w:rsidRPr="00C4171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Zarządzanie ryzykiem otwartych pozycji walutowych netto oraz brutto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–</w:t>
            </w:r>
            <w:r w:rsidR="000B4AB5" w:rsidRPr="00C4171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metody, przykłady, plusy i minusy tych metod.</w:t>
            </w:r>
          </w:p>
          <w:p w:rsidR="000B4AB5" w:rsidRPr="00ED0A39" w:rsidRDefault="00C33611" w:rsidP="00085275">
            <w:pPr>
              <w:suppressAutoHyphens w:val="0"/>
              <w:spacing w:after="0" w:line="360" w:lineRule="auto"/>
              <w:ind w:left="360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15. </w:t>
            </w:r>
            <w:proofErr w:type="spellStart"/>
            <w:r w:rsidRPr="00C4171A">
              <w:rPr>
                <w:rFonts w:asciiTheme="minorHAnsi" w:hAnsiTheme="minorHAnsi"/>
                <w:sz w:val="20"/>
                <w:szCs w:val="20"/>
                <w:lang w:val="pl-PL"/>
              </w:rPr>
              <w:t>S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p</w:t>
            </w:r>
            <w:r w:rsidRPr="00C4171A">
              <w:rPr>
                <w:rFonts w:asciiTheme="minorHAnsi" w:hAnsiTheme="minorHAnsi"/>
                <w:sz w:val="20"/>
                <w:szCs w:val="20"/>
                <w:lang w:val="pl-PL"/>
              </w:rPr>
              <w:t>read</w:t>
            </w:r>
            <w:proofErr w:type="spellEnd"/>
            <w:r w:rsidRPr="00C4171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krzyżowy na USD/PLN oraz EUR/PLN z wykorzystaniem opcji.</w:t>
            </w:r>
          </w:p>
        </w:tc>
      </w:tr>
    </w:tbl>
    <w:p w:rsidR="00152BE1" w:rsidRPr="000B4AB5" w:rsidRDefault="00152BE1" w:rsidP="0099478C">
      <w:pPr>
        <w:rPr>
          <w:lang w:val="pl-PL"/>
        </w:rPr>
      </w:pPr>
      <w:bookmarkStart w:id="0" w:name="_GoBack"/>
      <w:bookmarkEnd w:id="0"/>
    </w:p>
    <w:sectPr w:rsidR="00152BE1" w:rsidRPr="000B4AB5" w:rsidSect="00315C8C">
      <w:headerReference w:type="even" r:id="rId7"/>
      <w:headerReference w:type="default" r:id="rId8"/>
      <w:footerReference w:type="default" r:id="rId9"/>
      <w:pgSz w:w="11906" w:h="16838"/>
      <w:pgMar w:top="1276" w:right="1417" w:bottom="2650" w:left="1417" w:header="624" w:footer="0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6E" w:rsidRDefault="00F5656E" w:rsidP="000B4AB5">
      <w:pPr>
        <w:spacing w:after="0"/>
      </w:pPr>
      <w:r>
        <w:separator/>
      </w:r>
    </w:p>
  </w:endnote>
  <w:endnote w:type="continuationSeparator" w:id="0">
    <w:p w:rsidR="00F5656E" w:rsidRDefault="00F5656E" w:rsidP="000B4A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CE" w:rsidRPr="00060135" w:rsidRDefault="00F5656E" w:rsidP="006808CE">
    <w:pPr>
      <w:pStyle w:val="Stopka"/>
      <w:jc w:val="center"/>
      <w:rPr>
        <w:i/>
        <w:color w:val="1F497D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6E" w:rsidRDefault="00F5656E" w:rsidP="000B4AB5">
      <w:pPr>
        <w:spacing w:after="0"/>
      </w:pPr>
      <w:r>
        <w:separator/>
      </w:r>
    </w:p>
  </w:footnote>
  <w:footnote w:type="continuationSeparator" w:id="0">
    <w:p w:rsidR="00F5656E" w:rsidRDefault="00F5656E" w:rsidP="000B4A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60" w:rsidRDefault="007741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CE" w:rsidRDefault="00774168" w:rsidP="00315C8C">
    <w:pPr>
      <w:pStyle w:val="Nagwek"/>
      <w:tabs>
        <w:tab w:val="clear" w:pos="9072"/>
      </w:tabs>
    </w:pPr>
    <w:r>
      <w:rPr>
        <w:noProof/>
        <w:lang w:val="pl-PL" w:eastAsia="pl-PL"/>
      </w:rPr>
      <w:t xml:space="preserve">          </w:t>
    </w:r>
    <w:r w:rsidRPr="00E462C2">
      <w:rPr>
        <w:noProof/>
        <w:lang w:val="pl-PL" w:eastAsia="pl-PL"/>
      </w:rPr>
      <w:drawing>
        <wp:inline distT="0" distB="0" distL="0" distR="0">
          <wp:extent cx="908713" cy="260624"/>
          <wp:effectExtent l="19050" t="0" r="5687" b="0"/>
          <wp:docPr id="8" name="Obraz 7" descr="Z:\2015-2016\EVENTY\2016\6-7.10.2016_Ryzyko walutowe\DMK_logo_300x85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2015-2016\EVENTY\2016\6-7.10.2016_Ryzyko walutowe\DMK_logo_300x85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</w:t>
    </w:r>
    <w:r w:rsidR="00C556F1" w:rsidRPr="00C556F1">
      <w:rPr>
        <w:noProof/>
        <w:lang w:eastAsia="en-US"/>
      </w:rPr>
      <w:pict>
        <v:rect id="_x0000_s2049" style="position:absolute;left:0;text-align:left;margin-left:-9.6pt;margin-top:-78.25pt;width:503.5pt;height:89.95pt;rotation:-360;z-index:251660288;mso-position-horizontal-relative:margin;mso-position-vertical-relative:margin;mso-width-relative:margin;mso-height-relative:margin" o:allowincell="f" filled="f" fillcolor="#4f81bd [3204]" stroked="f">
          <v:imagedata embosscolor="shadow add(51)"/>
          <v:shadow type="emboss" color="lineOrFill darken(153)" color2="shadow add(102)" offset="1pt,1pt"/>
          <v:textbox style="mso-next-textbox:#_x0000_s2049;mso-fit-shape-to-text:t" inset="0,0,18pt,0">
            <w:txbxContent>
              <w:p w:rsidR="00186F8E" w:rsidRPr="00315C8C" w:rsidRDefault="00F5656E" w:rsidP="00315C8C">
                <w:pPr>
                  <w:rPr>
                    <w:szCs w:val="28"/>
                  </w:rPr>
                </w:pPr>
              </w:p>
            </w:txbxContent>
          </v:textbox>
          <w10:wrap type="square" anchorx="margin" anchory="margin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2A3"/>
    <w:multiLevelType w:val="hybridMultilevel"/>
    <w:tmpl w:val="A3825050"/>
    <w:lvl w:ilvl="0" w:tplc="ED1E57A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5D6E8D"/>
    <w:multiLevelType w:val="multilevel"/>
    <w:tmpl w:val="EBFCC99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4282FA9"/>
    <w:multiLevelType w:val="hybridMultilevel"/>
    <w:tmpl w:val="4CF49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512F83"/>
    <w:multiLevelType w:val="hybridMultilevel"/>
    <w:tmpl w:val="A3825050"/>
    <w:lvl w:ilvl="0" w:tplc="ED1E57A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A1532"/>
    <w:multiLevelType w:val="hybridMultilevel"/>
    <w:tmpl w:val="CCA43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90A"/>
    <w:multiLevelType w:val="hybridMultilevel"/>
    <w:tmpl w:val="E1E8310C"/>
    <w:lvl w:ilvl="0" w:tplc="293422F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2F35"/>
    <w:multiLevelType w:val="hybridMultilevel"/>
    <w:tmpl w:val="95265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74F3"/>
    <w:multiLevelType w:val="hybridMultilevel"/>
    <w:tmpl w:val="31F03CDA"/>
    <w:lvl w:ilvl="0" w:tplc="C2DC2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807"/>
    <w:rsid w:val="0007074E"/>
    <w:rsid w:val="00085275"/>
    <w:rsid w:val="000B4AB5"/>
    <w:rsid w:val="000D2CB3"/>
    <w:rsid w:val="00102DDA"/>
    <w:rsid w:val="00152BE1"/>
    <w:rsid w:val="002035C9"/>
    <w:rsid w:val="00366CA6"/>
    <w:rsid w:val="003D4E09"/>
    <w:rsid w:val="00423807"/>
    <w:rsid w:val="0045266F"/>
    <w:rsid w:val="00495717"/>
    <w:rsid w:val="00616897"/>
    <w:rsid w:val="006A196D"/>
    <w:rsid w:val="00774168"/>
    <w:rsid w:val="00775F1C"/>
    <w:rsid w:val="00836655"/>
    <w:rsid w:val="0099478C"/>
    <w:rsid w:val="00A643B8"/>
    <w:rsid w:val="00A8306D"/>
    <w:rsid w:val="00B97924"/>
    <w:rsid w:val="00C33611"/>
    <w:rsid w:val="00C556F1"/>
    <w:rsid w:val="00ED0A39"/>
    <w:rsid w:val="00F5656E"/>
    <w:rsid w:val="00FB57A9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B5"/>
    <w:pPr>
      <w:suppressAutoHyphens/>
      <w:spacing w:after="120" w:line="240" w:lineRule="auto"/>
      <w:jc w:val="both"/>
    </w:pPr>
    <w:rPr>
      <w:rFonts w:ascii="Myriad Pro" w:eastAsia="Times New Roman" w:hAnsi="Myriad Pro" w:cs="Times New Roman"/>
      <w:kern w:val="1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AB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AB5"/>
    <w:rPr>
      <w:rFonts w:ascii="Myriad Pro" w:eastAsia="Times New Roman" w:hAnsi="Myriad Pro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rsid w:val="000B4A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AB5"/>
    <w:rPr>
      <w:rFonts w:ascii="Myriad Pro" w:eastAsia="Times New Roman" w:hAnsi="Myriad Pro" w:cs="Times New Roman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ny"/>
    <w:rsid w:val="000B4AB5"/>
    <w:pPr>
      <w:suppressLineNumbers/>
    </w:pPr>
  </w:style>
  <w:style w:type="paragraph" w:styleId="Akapitzlist">
    <w:name w:val="List Paragraph"/>
    <w:basedOn w:val="Normalny"/>
    <w:qFormat/>
    <w:rsid w:val="000B4AB5"/>
    <w:pPr>
      <w:spacing w:after="0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A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B5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Bezodstpw">
    <w:name w:val="No Spacing"/>
    <w:uiPriority w:val="1"/>
    <w:qFormat/>
    <w:rsid w:val="00A83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</dc:creator>
  <cp:lastModifiedBy>d</cp:lastModifiedBy>
  <cp:revision>2</cp:revision>
  <cp:lastPrinted>2018-01-03T14:27:00Z</cp:lastPrinted>
  <dcterms:created xsi:type="dcterms:W3CDTF">2018-11-16T13:41:00Z</dcterms:created>
  <dcterms:modified xsi:type="dcterms:W3CDTF">2018-11-16T13:41:00Z</dcterms:modified>
</cp:coreProperties>
</file>